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DF622" w14:textId="0E00FB8B" w:rsidR="00C714B0" w:rsidRDefault="007D6F5D" w:rsidP="00C714B0">
      <w:pPr>
        <w:pStyle w:val="Heading1"/>
        <w:spacing w:before="0"/>
        <w:rPr>
          <w:rFonts w:ascii="Gadugi" w:eastAsia="Calibri Light" w:hAnsi="Gadugi" w:cs="Calibri Light"/>
          <w:b/>
          <w:bCs/>
          <w:color w:val="1540AB"/>
        </w:rPr>
      </w:pP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21F1AB0C" wp14:editId="013CC0F2">
                <wp:simplePos x="0" y="0"/>
                <wp:positionH relativeFrom="page">
                  <wp:posOffset>7620</wp:posOffset>
                </wp:positionH>
                <wp:positionV relativeFrom="paragraph">
                  <wp:posOffset>-1965960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D342C3"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4.8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" fillcolor="#1540ab" stroked="f" strokeweight="1pt">
                <w10:wrap anchorx="page"/>
              </v:shape>
            </w:pict>
          </mc:Fallback>
        </mc:AlternateContent>
      </w:r>
      <w:r>
        <w:rPr>
          <w:rFonts w:ascii="Franklin Gothic Book" w:hAnsi="Franklin Gothic Book"/>
          <w:noProof/>
        </w:rPr>
        <w:drawing>
          <wp:anchor distT="0" distB="0" distL="114300" distR="114300" simplePos="0" relativeHeight="251660288" behindDoc="0" locked="0" layoutInCell="1" allowOverlap="1" wp14:anchorId="58D30917" wp14:editId="22A724D5">
            <wp:simplePos x="0" y="0"/>
            <wp:positionH relativeFrom="margin">
              <wp:posOffset>5209540</wp:posOffset>
            </wp:positionH>
            <wp:positionV relativeFrom="paragraph">
              <wp:posOffset>-749935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555FCF66" wp14:editId="3BC94BBF">
                <wp:simplePos x="0" y="0"/>
                <wp:positionH relativeFrom="page">
                  <wp:posOffset>3338830</wp:posOffset>
                </wp:positionH>
                <wp:positionV relativeFrom="paragraph">
                  <wp:posOffset>-931545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7E5851" id="Rectangle 2" o:spid="_x0000_s1026" style="position:absolute;margin-left:262.9pt;margin-top:-73.3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" fillcolor="#1540ab" stroked="f" strokeweight="1pt">
                <w10:wrap anchorx="page"/>
              </v:rect>
            </w:pict>
          </mc:Fallback>
        </mc:AlternateContent>
      </w:r>
    </w:p>
    <w:p w14:paraId="748F7BBE" w14:textId="6D528CEA" w:rsidR="00C714B0" w:rsidRPr="00C714B0" w:rsidRDefault="00C714B0" w:rsidP="00C714B0">
      <w:pPr>
        <w:pStyle w:val="Heading1"/>
        <w:spacing w:before="0"/>
        <w:rPr>
          <w:rFonts w:ascii="Gadugi" w:eastAsia="Calibri Light" w:hAnsi="Gadugi" w:cs="Calibri Light"/>
          <w:b/>
          <w:bCs/>
          <w:color w:val="1540AB"/>
          <w:sz w:val="12"/>
          <w:szCs w:val="12"/>
        </w:rPr>
      </w:pPr>
      <w:r w:rsidRPr="00C714B0">
        <w:rPr>
          <w:rFonts w:ascii="Gadugi" w:eastAsia="Calibri Light" w:hAnsi="Gadugi" w:cs="Calibri Light"/>
          <w:b/>
          <w:bCs/>
          <w:color w:val="1540AB"/>
          <w:sz w:val="12"/>
          <w:szCs w:val="12"/>
        </w:rPr>
        <w:t xml:space="preserve">   </w:t>
      </w:r>
    </w:p>
    <w:p w14:paraId="12C119CF" w14:textId="1AD83C56" w:rsidR="005B6613" w:rsidRPr="00C714B0" w:rsidRDefault="127B00AD" w:rsidP="00C714B0">
      <w:pPr>
        <w:pStyle w:val="Heading1"/>
        <w:spacing w:before="0"/>
        <w:rPr>
          <w:rFonts w:ascii="Gadugi" w:hAnsi="Gadugi"/>
          <w:b/>
          <w:bCs/>
          <w:color w:val="1540AB"/>
        </w:rPr>
      </w:pPr>
      <w:r w:rsidRPr="00C714B0">
        <w:rPr>
          <w:rFonts w:ascii="Gadugi" w:eastAsia="Calibri Light" w:hAnsi="Gadugi" w:cs="Calibri Light"/>
          <w:b/>
          <w:bCs/>
          <w:color w:val="1540AB"/>
        </w:rPr>
        <w:t>Workplace Health and Safety Policy</w:t>
      </w:r>
    </w:p>
    <w:p w14:paraId="6D0C8660" w14:textId="77777777" w:rsidR="00C714B0" w:rsidRDefault="00C714B0" w:rsidP="00C714B0">
      <w:pPr>
        <w:spacing w:after="0" w:line="257" w:lineRule="auto"/>
        <w:rPr>
          <w:rFonts w:ascii="Gadugi" w:eastAsia="Calibri" w:hAnsi="Gadugi" w:cs="Calibri"/>
        </w:rPr>
      </w:pPr>
    </w:p>
    <w:p w14:paraId="1FCCDB0E" w14:textId="6121E9A0" w:rsidR="005B6613" w:rsidRPr="00C714B0" w:rsidRDefault="127B00AD" w:rsidP="00C714B0">
      <w:pPr>
        <w:spacing w:after="0" w:line="257" w:lineRule="auto"/>
        <w:rPr>
          <w:rFonts w:ascii="Gadugi" w:eastAsia="Calibri" w:hAnsi="Gadugi" w:cs="Calibri"/>
          <w:b/>
          <w:bCs/>
          <w:color w:val="339933"/>
        </w:rPr>
      </w:pPr>
      <w:r w:rsidRPr="00C714B0">
        <w:rPr>
          <w:rFonts w:ascii="Gadugi" w:eastAsia="Calibri" w:hAnsi="Gadugi" w:cs="Calibri"/>
          <w:b/>
          <w:bCs/>
          <w:color w:val="339933"/>
        </w:rPr>
        <w:t>Introduction</w:t>
      </w:r>
    </w:p>
    <w:p w14:paraId="5AA0AD36" w14:textId="77777777" w:rsidR="00C714B0" w:rsidRPr="00C714B0" w:rsidRDefault="00C714B0" w:rsidP="00C714B0">
      <w:pPr>
        <w:spacing w:after="0" w:line="257" w:lineRule="auto"/>
        <w:rPr>
          <w:rFonts w:ascii="Gadugi" w:hAnsi="Gadugi"/>
        </w:rPr>
      </w:pPr>
    </w:p>
    <w:p w14:paraId="6D9178F4" w14:textId="7BDB0C6C" w:rsidR="005B6613" w:rsidRPr="00C714B0" w:rsidRDefault="127B00AD" w:rsidP="00C714B0">
      <w:pPr>
        <w:spacing w:after="0" w:line="257" w:lineRule="auto"/>
        <w:rPr>
          <w:rFonts w:ascii="Gadugi" w:hAnsi="Gadugi"/>
        </w:rPr>
      </w:pPr>
      <w:r w:rsidRPr="00C714B0">
        <w:rPr>
          <w:rFonts w:ascii="Gadugi" w:eastAsia="Calibri" w:hAnsi="Gadugi" w:cs="Calibri"/>
        </w:rPr>
        <w:t>This Workplace Health and Safety (WHS) Policy outlines the laboratory's commitment to providing a safe and healthy work environment for its employees, contractors, and visitors.</w:t>
      </w:r>
    </w:p>
    <w:p w14:paraId="7E6F26AB" w14:textId="6A90D3F4" w:rsidR="005B6613" w:rsidRPr="00C714B0" w:rsidRDefault="127B00AD" w:rsidP="00C714B0">
      <w:pPr>
        <w:spacing w:after="0" w:line="257" w:lineRule="auto"/>
        <w:rPr>
          <w:rFonts w:ascii="Gadugi" w:hAnsi="Gadugi"/>
        </w:rPr>
      </w:pPr>
      <w:r w:rsidRPr="00C714B0">
        <w:rPr>
          <w:rFonts w:ascii="Gadugi" w:eastAsia="Calibri" w:hAnsi="Gadugi" w:cs="Calibri"/>
        </w:rPr>
        <w:t xml:space="preserve"> </w:t>
      </w:r>
    </w:p>
    <w:p w14:paraId="70C7FF8C" w14:textId="2C64A20E" w:rsidR="005B6613" w:rsidRPr="00C714B0" w:rsidRDefault="127B00AD" w:rsidP="00C714B0">
      <w:pPr>
        <w:spacing w:after="0" w:line="257" w:lineRule="auto"/>
        <w:rPr>
          <w:rFonts w:ascii="Gadugi" w:eastAsia="Calibri" w:hAnsi="Gadugi" w:cs="Calibri"/>
          <w:b/>
          <w:bCs/>
          <w:color w:val="339933"/>
        </w:rPr>
      </w:pPr>
      <w:r w:rsidRPr="00C714B0">
        <w:rPr>
          <w:rFonts w:ascii="Gadugi" w:eastAsia="Calibri" w:hAnsi="Gadugi" w:cs="Calibri"/>
          <w:b/>
          <w:bCs/>
          <w:color w:val="339933"/>
        </w:rPr>
        <w:t>Purpose</w:t>
      </w:r>
    </w:p>
    <w:p w14:paraId="4BE08497" w14:textId="77777777" w:rsidR="00C714B0" w:rsidRPr="00C714B0" w:rsidRDefault="00C714B0" w:rsidP="00C714B0">
      <w:pPr>
        <w:spacing w:after="0" w:line="257" w:lineRule="auto"/>
        <w:rPr>
          <w:rFonts w:ascii="Gadugi" w:hAnsi="Gadugi"/>
        </w:rPr>
      </w:pPr>
    </w:p>
    <w:p w14:paraId="43E977DC" w14:textId="276B6E4F" w:rsidR="005B6613" w:rsidRPr="00C714B0" w:rsidRDefault="127B00AD" w:rsidP="00C714B0">
      <w:pPr>
        <w:spacing w:after="0" w:line="257" w:lineRule="auto"/>
        <w:rPr>
          <w:rFonts w:ascii="Gadugi" w:hAnsi="Gadugi"/>
        </w:rPr>
      </w:pPr>
      <w:r w:rsidRPr="00C714B0">
        <w:rPr>
          <w:rFonts w:ascii="Gadugi" w:eastAsia="Calibri" w:hAnsi="Gadugi" w:cs="Calibri"/>
        </w:rPr>
        <w:t>The purpose of this manual is to establish the laboratory's policies and procedures for managing workplace health and safety, and to provide guidance for employees, contractors, and visitors on how to work safely in the laboratory.</w:t>
      </w:r>
    </w:p>
    <w:p w14:paraId="2C9FA648" w14:textId="1A29C30B" w:rsidR="005B6613" w:rsidRPr="00C714B0" w:rsidRDefault="127B00AD" w:rsidP="00C714B0">
      <w:pPr>
        <w:spacing w:after="0" w:line="257" w:lineRule="auto"/>
        <w:rPr>
          <w:rFonts w:ascii="Gadugi" w:hAnsi="Gadugi"/>
        </w:rPr>
      </w:pPr>
      <w:r w:rsidRPr="00C714B0">
        <w:rPr>
          <w:rFonts w:ascii="Gadugi" w:eastAsia="Calibri" w:hAnsi="Gadugi" w:cs="Calibri"/>
        </w:rPr>
        <w:t xml:space="preserve"> </w:t>
      </w:r>
    </w:p>
    <w:p w14:paraId="45E6EE4A" w14:textId="7F4B724A" w:rsidR="005B6613" w:rsidRPr="00C714B0" w:rsidRDefault="127B00AD" w:rsidP="00C714B0">
      <w:pPr>
        <w:spacing w:after="0" w:line="257" w:lineRule="auto"/>
        <w:rPr>
          <w:rFonts w:ascii="Gadugi" w:eastAsia="Calibri" w:hAnsi="Gadugi" w:cs="Calibri"/>
          <w:b/>
          <w:bCs/>
          <w:color w:val="339933"/>
        </w:rPr>
      </w:pPr>
      <w:r w:rsidRPr="00C714B0">
        <w:rPr>
          <w:rFonts w:ascii="Gadugi" w:eastAsia="Calibri" w:hAnsi="Gadugi" w:cs="Calibri"/>
          <w:b/>
          <w:bCs/>
          <w:color w:val="339933"/>
        </w:rPr>
        <w:t>Scope</w:t>
      </w:r>
    </w:p>
    <w:p w14:paraId="36C9BB89" w14:textId="77777777" w:rsidR="00C714B0" w:rsidRPr="00C714B0" w:rsidRDefault="00C714B0" w:rsidP="00C714B0">
      <w:pPr>
        <w:spacing w:after="0" w:line="257" w:lineRule="auto"/>
        <w:rPr>
          <w:rFonts w:ascii="Gadugi" w:hAnsi="Gadugi"/>
        </w:rPr>
      </w:pPr>
    </w:p>
    <w:p w14:paraId="18D68D7A" w14:textId="6EAE0B44" w:rsidR="005B6613" w:rsidRPr="00C714B0" w:rsidRDefault="127B00AD" w:rsidP="00C714B0">
      <w:pPr>
        <w:spacing w:after="0" w:line="257" w:lineRule="auto"/>
        <w:rPr>
          <w:rFonts w:ascii="Gadugi" w:hAnsi="Gadugi"/>
        </w:rPr>
      </w:pPr>
      <w:r w:rsidRPr="00C714B0">
        <w:rPr>
          <w:rFonts w:ascii="Gadugi" w:eastAsia="Calibri" w:hAnsi="Gadugi" w:cs="Calibri"/>
        </w:rPr>
        <w:t>This policy applies to all employees, contractors, and visitors working at the laboratory.</w:t>
      </w:r>
    </w:p>
    <w:p w14:paraId="2A5E8249" w14:textId="57D993DF" w:rsidR="005B6613" w:rsidRPr="00C714B0" w:rsidRDefault="127B00AD" w:rsidP="00C714B0">
      <w:pPr>
        <w:spacing w:after="0" w:line="257" w:lineRule="auto"/>
        <w:rPr>
          <w:rFonts w:ascii="Gadugi" w:hAnsi="Gadugi"/>
        </w:rPr>
      </w:pPr>
      <w:r w:rsidRPr="00C714B0">
        <w:rPr>
          <w:rFonts w:ascii="Gadugi" w:eastAsia="Calibri" w:hAnsi="Gadugi" w:cs="Calibri"/>
        </w:rPr>
        <w:t xml:space="preserve"> </w:t>
      </w:r>
    </w:p>
    <w:p w14:paraId="14F551CE" w14:textId="742C3E8C" w:rsidR="005B6613" w:rsidRPr="00C714B0" w:rsidRDefault="127B00AD" w:rsidP="00C714B0">
      <w:pPr>
        <w:spacing w:after="0" w:line="257" w:lineRule="auto"/>
        <w:rPr>
          <w:rFonts w:ascii="Gadugi" w:eastAsia="Calibri" w:hAnsi="Gadugi" w:cs="Calibri"/>
          <w:b/>
          <w:bCs/>
          <w:color w:val="339933"/>
        </w:rPr>
      </w:pPr>
      <w:r w:rsidRPr="00C714B0">
        <w:rPr>
          <w:rFonts w:ascii="Gadugi" w:eastAsia="Calibri" w:hAnsi="Gadugi" w:cs="Calibri"/>
          <w:b/>
          <w:bCs/>
          <w:color w:val="339933"/>
        </w:rPr>
        <w:t>Policy</w:t>
      </w:r>
    </w:p>
    <w:p w14:paraId="243D53C9" w14:textId="77777777" w:rsidR="00C714B0" w:rsidRPr="00C714B0" w:rsidRDefault="00C714B0" w:rsidP="00C714B0">
      <w:pPr>
        <w:spacing w:after="0" w:line="257" w:lineRule="auto"/>
        <w:rPr>
          <w:rFonts w:ascii="Gadugi" w:hAnsi="Gadugi"/>
        </w:rPr>
      </w:pPr>
    </w:p>
    <w:p w14:paraId="5782CF09" w14:textId="7897C18F"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 xml:space="preserve">The laboratory is committed to providing a safe and healthy work </w:t>
      </w:r>
      <w:proofErr w:type="gramStart"/>
      <w:r w:rsidRPr="00C714B0">
        <w:rPr>
          <w:rFonts w:ascii="Gadugi" w:eastAsia="Calibri" w:hAnsi="Gadugi" w:cs="Calibri"/>
        </w:rPr>
        <w:t>environment, and</w:t>
      </w:r>
      <w:proofErr w:type="gramEnd"/>
      <w:r w:rsidRPr="00C714B0">
        <w:rPr>
          <w:rFonts w:ascii="Gadugi" w:eastAsia="Calibri" w:hAnsi="Gadugi" w:cs="Calibri"/>
        </w:rPr>
        <w:t xml:space="preserve"> will comply with relevant workplace health and safety laws and regulations.</w:t>
      </w:r>
    </w:p>
    <w:p w14:paraId="44C4D511" w14:textId="7EEE45DD"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 xml:space="preserve">The laboratory will conduct regular risk assessments to identify potential </w:t>
      </w:r>
      <w:proofErr w:type="gramStart"/>
      <w:r w:rsidRPr="00C714B0">
        <w:rPr>
          <w:rFonts w:ascii="Gadugi" w:eastAsia="Calibri" w:hAnsi="Gadugi" w:cs="Calibri"/>
        </w:rPr>
        <w:t>hazards, and</w:t>
      </w:r>
      <w:proofErr w:type="gramEnd"/>
      <w:r w:rsidRPr="00C714B0">
        <w:rPr>
          <w:rFonts w:ascii="Gadugi" w:eastAsia="Calibri" w:hAnsi="Gadugi" w:cs="Calibri"/>
        </w:rPr>
        <w:t xml:space="preserve"> will implement controls to eliminate or minimize the risk of harm to employees, contractors, and visitors.</w:t>
      </w:r>
    </w:p>
    <w:p w14:paraId="4363C77C" w14:textId="1160122F"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The laboratory will provide appropriate training and resources to its employees, contractors, and visitors to ensure they understand their obligations and responsibilities in relation to workplace health and safety.</w:t>
      </w:r>
    </w:p>
    <w:p w14:paraId="44EF465E" w14:textId="5E412479"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The laboratory will ensure that all employees, contractors, and visitors are aware of the WHS policies and procedures outlined in this manual, and that they follow these policies and procedures when working in the laboratory.</w:t>
      </w:r>
    </w:p>
    <w:p w14:paraId="170AE9A9" w14:textId="7B11AEAA"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The laboratory will ensure that appropriate first aid and emergency response procedures are in place, and that employees, contractors, and visitors are trained on how to respond in the event of an emergency.</w:t>
      </w:r>
    </w:p>
    <w:p w14:paraId="306B9448" w14:textId="0F787E55"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t xml:space="preserve">The laboratory will regularly review its WHS practices and procedures to ensure they remain relevant and </w:t>
      </w:r>
      <w:proofErr w:type="gramStart"/>
      <w:r w:rsidRPr="00C714B0">
        <w:rPr>
          <w:rFonts w:ascii="Gadugi" w:eastAsia="Calibri" w:hAnsi="Gadugi" w:cs="Calibri"/>
        </w:rPr>
        <w:t>effective, and</w:t>
      </w:r>
      <w:proofErr w:type="gramEnd"/>
      <w:r w:rsidRPr="00C714B0">
        <w:rPr>
          <w:rFonts w:ascii="Gadugi" w:eastAsia="Calibri" w:hAnsi="Gadugi" w:cs="Calibri"/>
        </w:rPr>
        <w:t xml:space="preserve"> will continuously improve its WHS practices based on the results of these reviews.</w:t>
      </w:r>
    </w:p>
    <w:p w14:paraId="02FF6D7E" w14:textId="1FBB67D8" w:rsidR="005B6613" w:rsidRPr="00C714B0" w:rsidRDefault="127B00AD" w:rsidP="00C714B0">
      <w:pPr>
        <w:pStyle w:val="ListParagraph"/>
        <w:numPr>
          <w:ilvl w:val="0"/>
          <w:numId w:val="1"/>
        </w:numPr>
        <w:spacing w:after="0" w:line="257" w:lineRule="auto"/>
        <w:rPr>
          <w:rFonts w:ascii="Gadugi" w:hAnsi="Gadugi"/>
        </w:rPr>
      </w:pPr>
      <w:r w:rsidRPr="00C714B0">
        <w:rPr>
          <w:rFonts w:ascii="Gadugi" w:eastAsia="Calibri" w:hAnsi="Gadugi" w:cs="Calibri"/>
        </w:rPr>
        <w:lastRenderedPageBreak/>
        <w:t xml:space="preserve">The laboratory will encourage its employees, contractors, and visitors to report any workplace health and safety </w:t>
      </w:r>
      <w:proofErr w:type="gramStart"/>
      <w:r w:rsidRPr="00C714B0">
        <w:rPr>
          <w:rFonts w:ascii="Gadugi" w:eastAsia="Calibri" w:hAnsi="Gadugi" w:cs="Calibri"/>
        </w:rPr>
        <w:t>concerns, and</w:t>
      </w:r>
      <w:proofErr w:type="gramEnd"/>
      <w:r w:rsidRPr="00C714B0">
        <w:rPr>
          <w:rFonts w:ascii="Gadugi" w:eastAsia="Calibri" w:hAnsi="Gadugi" w:cs="Calibri"/>
        </w:rPr>
        <w:t xml:space="preserve"> will take appropriate action to address these concerns in a timely manner.</w:t>
      </w:r>
    </w:p>
    <w:p w14:paraId="6339E3C5" w14:textId="3AB86F55" w:rsidR="005B6613" w:rsidRPr="00C714B0" w:rsidRDefault="127B00AD" w:rsidP="00C714B0">
      <w:pPr>
        <w:spacing w:after="0" w:line="257" w:lineRule="auto"/>
        <w:rPr>
          <w:rFonts w:ascii="Gadugi" w:hAnsi="Gadugi"/>
        </w:rPr>
      </w:pPr>
      <w:r w:rsidRPr="00C714B0">
        <w:rPr>
          <w:rFonts w:ascii="Gadugi" w:eastAsia="Calibri" w:hAnsi="Gadugi" w:cs="Calibri"/>
        </w:rPr>
        <w:t xml:space="preserve"> </w:t>
      </w:r>
    </w:p>
    <w:p w14:paraId="17633DEA" w14:textId="26C701B6" w:rsidR="005B6613" w:rsidRPr="00C714B0" w:rsidRDefault="127B00AD" w:rsidP="00C714B0">
      <w:pPr>
        <w:spacing w:after="0" w:line="257" w:lineRule="auto"/>
        <w:rPr>
          <w:rFonts w:ascii="Gadugi" w:eastAsia="Calibri" w:hAnsi="Gadugi" w:cs="Calibri"/>
          <w:b/>
          <w:bCs/>
          <w:color w:val="339933"/>
        </w:rPr>
      </w:pPr>
      <w:r w:rsidRPr="00C714B0">
        <w:rPr>
          <w:rFonts w:ascii="Gadugi" w:eastAsia="Calibri" w:hAnsi="Gadugi" w:cs="Calibri"/>
          <w:b/>
          <w:bCs/>
          <w:color w:val="339933"/>
        </w:rPr>
        <w:t>Conclusion</w:t>
      </w:r>
    </w:p>
    <w:p w14:paraId="0A1977A7" w14:textId="77777777" w:rsidR="00C714B0" w:rsidRPr="00C714B0" w:rsidRDefault="00C714B0" w:rsidP="00C714B0">
      <w:pPr>
        <w:spacing w:after="0" w:line="257" w:lineRule="auto"/>
        <w:rPr>
          <w:rFonts w:ascii="Gadugi" w:hAnsi="Gadugi"/>
        </w:rPr>
      </w:pPr>
    </w:p>
    <w:p w14:paraId="514DA880" w14:textId="2E955538" w:rsidR="005B6613" w:rsidRPr="00C714B0" w:rsidRDefault="127B00AD" w:rsidP="00C714B0">
      <w:pPr>
        <w:spacing w:after="0" w:line="257" w:lineRule="auto"/>
        <w:rPr>
          <w:rFonts w:ascii="Gadugi" w:hAnsi="Gadugi"/>
        </w:rPr>
      </w:pPr>
      <w:r w:rsidRPr="00C714B0">
        <w:rPr>
          <w:rFonts w:ascii="Gadugi" w:eastAsia="Calibri" w:hAnsi="Gadugi" w:cs="Calibri"/>
        </w:rPr>
        <w:t>The laboratory is committed to providing a safe and healthy work environment for its employees, contractors, and visitors. This WHS Manual is an important part of the laboratory's commitment to workplace health and safety, and is intended to establish the laboratory's policies and procedures for managing workplace health and safety, and to provide guidance for employees, contractors, and visitors on how to work safely in the laboratory.</w:t>
      </w:r>
    </w:p>
    <w:p w14:paraId="2C078E63" w14:textId="00C4A944" w:rsidR="005B6613" w:rsidRPr="00C714B0" w:rsidRDefault="005B6613" w:rsidP="00C714B0">
      <w:pPr>
        <w:spacing w:after="0"/>
        <w:rPr>
          <w:rFonts w:ascii="Gadugi" w:hAnsi="Gadugi"/>
        </w:rPr>
      </w:pPr>
    </w:p>
    <w:sectPr w:rsidR="005B6613" w:rsidRPr="00C714B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7F938" w14:textId="77777777" w:rsidR="005D40D3" w:rsidRDefault="005D40D3" w:rsidP="00AB18B7">
      <w:pPr>
        <w:spacing w:after="0" w:line="240" w:lineRule="auto"/>
      </w:pPr>
      <w:r>
        <w:separator/>
      </w:r>
    </w:p>
  </w:endnote>
  <w:endnote w:type="continuationSeparator" w:id="0">
    <w:p w14:paraId="7AE36222" w14:textId="77777777" w:rsidR="005D40D3" w:rsidRDefault="005D40D3" w:rsidP="00AB1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5791256"/>
      <w:docPartObj>
        <w:docPartGallery w:val="Page Numbers (Bottom of Page)"/>
        <w:docPartUnique/>
      </w:docPartObj>
    </w:sdtPr>
    <w:sdtContent>
      <w:sdt>
        <w:sdtPr>
          <w:id w:val="-1769616900"/>
          <w:docPartObj>
            <w:docPartGallery w:val="Page Numbers (Top of Page)"/>
            <w:docPartUnique/>
          </w:docPartObj>
        </w:sdtPr>
        <w:sdtContent>
          <w:p w14:paraId="1ECA3EC4" w14:textId="2A1DB477" w:rsidR="00AB18B7" w:rsidRDefault="00AB18B7">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74D69451" wp14:editId="6F5172ED">
                      <wp:simplePos x="0" y="0"/>
                      <wp:positionH relativeFrom="column">
                        <wp:posOffset>-101600</wp:posOffset>
                      </wp:positionH>
                      <wp:positionV relativeFrom="paragraph">
                        <wp:posOffset>-43180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061A1B94" w14:textId="6839FD71" w:rsidR="00AB18B7" w:rsidRPr="00AB18B7" w:rsidRDefault="00AB18B7" w:rsidP="00AB18B7">
                                  <w:pPr>
                                    <w:rPr>
                                      <w:rFonts w:ascii="Gadugi" w:hAnsi="Gadugi"/>
                                      <w:lang w:val="en-AU"/>
                                    </w:rPr>
                                  </w:pPr>
                                  <w:r>
                                    <w:rPr>
                                      <w:rFonts w:ascii="Gadugi" w:hAnsi="Gadugi"/>
                                      <w:lang w:val="en-AU"/>
                                    </w:rPr>
                                    <w:t>2.1.1. Workplace Health and Safety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4D69451" id="_x0000_t202" coordsize="21600,21600" o:spt="202" path="m,l,21600r21600,l21600,xe">
                      <v:stroke joinstyle="miter"/>
                      <v:path gradientshapeok="t" o:connecttype="rect"/>
                    </v:shapetype>
                    <v:shape id="Text Box 2" o:spid="_x0000_s1026" type="#_x0000_t202" style="position:absolute;left:0;text-align:left;margin-left:-8pt;margin-top:-3.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" filled="f" stroked="f">
                      <v:textbox style="mso-fit-shape-to-text:t">
                        <w:txbxContent>
                          <w:p w14:paraId="061A1B94" w14:textId="6839FD71" w:rsidR="00AB18B7" w:rsidRPr="00AB18B7" w:rsidRDefault="00AB18B7" w:rsidP="00AB18B7">
                            <w:pPr>
                              <w:rPr>
                                <w:rFonts w:ascii="Gadugi" w:hAnsi="Gadugi"/>
                                <w:lang w:val="en-AU"/>
                              </w:rPr>
                            </w:pPr>
                            <w:r>
                              <w:rPr>
                                <w:rFonts w:ascii="Gadugi" w:hAnsi="Gadugi"/>
                                <w:lang w:val="en-AU"/>
                              </w:rPr>
                              <w:t>2.1.1. Workplace Health and Safety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72AEF147" wp14:editId="43704F07">
                      <wp:simplePos x="0" y="0"/>
                      <wp:positionH relativeFrom="column">
                        <wp:posOffset>-182880</wp:posOffset>
                      </wp:positionH>
                      <wp:positionV relativeFrom="paragraph">
                        <wp:posOffset>-96520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72C6F7" id="Rectangle 1" o:spid="_x0000_s1026" style="position:absolute;margin-left:-14.4pt;margin-top:-7.6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" fillcolor="#1540ab" stroked="f" strokeweight="1pt"/>
                  </w:pict>
                </mc:Fallback>
              </mc:AlternateContent>
            </w:r>
            <w:r w:rsidRPr="00AB18B7">
              <w:rPr>
                <w:rFonts w:ascii="Gadugi" w:hAnsi="Gadugi"/>
              </w:rPr>
              <w:t xml:space="preserve">Page </w:t>
            </w:r>
            <w:r w:rsidRPr="00AB18B7">
              <w:rPr>
                <w:rFonts w:ascii="Gadugi" w:hAnsi="Gadugi"/>
                <w:b/>
                <w:bCs/>
              </w:rPr>
              <w:fldChar w:fldCharType="begin"/>
            </w:r>
            <w:r w:rsidRPr="00AB18B7">
              <w:rPr>
                <w:rFonts w:ascii="Gadugi" w:hAnsi="Gadugi"/>
                <w:b/>
                <w:bCs/>
              </w:rPr>
              <w:instrText xml:space="preserve"> PAGE </w:instrText>
            </w:r>
            <w:r w:rsidRPr="00AB18B7">
              <w:rPr>
                <w:rFonts w:ascii="Gadugi" w:hAnsi="Gadugi"/>
                <w:b/>
                <w:bCs/>
              </w:rPr>
              <w:fldChar w:fldCharType="separate"/>
            </w:r>
            <w:r w:rsidRPr="00AB18B7">
              <w:rPr>
                <w:rFonts w:ascii="Gadugi" w:hAnsi="Gadugi"/>
                <w:b/>
                <w:bCs/>
                <w:noProof/>
              </w:rPr>
              <w:t>2</w:t>
            </w:r>
            <w:r w:rsidRPr="00AB18B7">
              <w:rPr>
                <w:rFonts w:ascii="Gadugi" w:hAnsi="Gadugi"/>
                <w:b/>
                <w:bCs/>
              </w:rPr>
              <w:fldChar w:fldCharType="end"/>
            </w:r>
            <w:r w:rsidRPr="00AB18B7">
              <w:rPr>
                <w:rFonts w:ascii="Gadugi" w:hAnsi="Gadugi"/>
              </w:rPr>
              <w:t xml:space="preserve"> of </w:t>
            </w:r>
            <w:r w:rsidRPr="00AB18B7">
              <w:rPr>
                <w:rFonts w:ascii="Gadugi" w:hAnsi="Gadugi"/>
                <w:b/>
                <w:bCs/>
              </w:rPr>
              <w:fldChar w:fldCharType="begin"/>
            </w:r>
            <w:r w:rsidRPr="00AB18B7">
              <w:rPr>
                <w:rFonts w:ascii="Gadugi" w:hAnsi="Gadugi"/>
                <w:b/>
                <w:bCs/>
              </w:rPr>
              <w:instrText xml:space="preserve"> NUMPAGES  </w:instrText>
            </w:r>
            <w:r w:rsidRPr="00AB18B7">
              <w:rPr>
                <w:rFonts w:ascii="Gadugi" w:hAnsi="Gadugi"/>
                <w:b/>
                <w:bCs/>
              </w:rPr>
              <w:fldChar w:fldCharType="separate"/>
            </w:r>
            <w:r w:rsidRPr="00AB18B7">
              <w:rPr>
                <w:rFonts w:ascii="Gadugi" w:hAnsi="Gadugi"/>
                <w:b/>
                <w:bCs/>
                <w:noProof/>
              </w:rPr>
              <w:t>2</w:t>
            </w:r>
            <w:r w:rsidRPr="00AB18B7">
              <w:rPr>
                <w:rFonts w:ascii="Gadugi" w:hAnsi="Gadugi"/>
                <w:b/>
                <w:bCs/>
              </w:rPr>
              <w:fldChar w:fldCharType="end"/>
            </w:r>
          </w:p>
        </w:sdtContent>
      </w:sdt>
    </w:sdtContent>
  </w:sdt>
  <w:p w14:paraId="79372B78" w14:textId="583CB660" w:rsidR="00AB18B7" w:rsidRDefault="00AB1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BB72F" w14:textId="77777777" w:rsidR="005D40D3" w:rsidRDefault="005D40D3" w:rsidP="00AB18B7">
      <w:pPr>
        <w:spacing w:after="0" w:line="240" w:lineRule="auto"/>
      </w:pPr>
      <w:r>
        <w:separator/>
      </w:r>
    </w:p>
  </w:footnote>
  <w:footnote w:type="continuationSeparator" w:id="0">
    <w:p w14:paraId="7A492FB5" w14:textId="77777777" w:rsidR="005D40D3" w:rsidRDefault="005D40D3" w:rsidP="00AB18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45EC8"/>
    <w:multiLevelType w:val="hybridMultilevel"/>
    <w:tmpl w:val="EE3868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06647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A04D14"/>
    <w:rsid w:val="00314807"/>
    <w:rsid w:val="005B6613"/>
    <w:rsid w:val="005D40D3"/>
    <w:rsid w:val="007D6F5D"/>
    <w:rsid w:val="00AB18B7"/>
    <w:rsid w:val="00C714B0"/>
    <w:rsid w:val="127B00AD"/>
    <w:rsid w:val="69A04D14"/>
    <w:rsid w:val="6B473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A04D14"/>
  <w15:chartTrackingRefBased/>
  <w15:docId w15:val="{14B181BB-6D33-4C87-9A81-3A890EA8F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714B0"/>
    <w:pPr>
      <w:ind w:left="720"/>
      <w:contextualSpacing/>
    </w:pPr>
  </w:style>
  <w:style w:type="paragraph" w:styleId="Header">
    <w:name w:val="header"/>
    <w:basedOn w:val="Normal"/>
    <w:link w:val="HeaderChar"/>
    <w:uiPriority w:val="99"/>
    <w:unhideWhenUsed/>
    <w:rsid w:val="00AB18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18B7"/>
  </w:style>
  <w:style w:type="paragraph" w:styleId="Footer">
    <w:name w:val="footer"/>
    <w:basedOn w:val="Normal"/>
    <w:link w:val="FooterChar"/>
    <w:uiPriority w:val="99"/>
    <w:unhideWhenUsed/>
    <w:rsid w:val="00AB18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1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Props1.xml><?xml version="1.0" encoding="utf-8"?>
<ds:datastoreItem xmlns:ds="http://schemas.openxmlformats.org/officeDocument/2006/customXml" ds:itemID="{1EA0BF06-FAF8-40CC-AA68-C1F6CECC02FA}">
  <ds:schemaRefs>
    <ds:schemaRef ds:uri="http://schemas.microsoft.com/sharepoint/v3/contenttype/forms"/>
  </ds:schemaRefs>
</ds:datastoreItem>
</file>

<file path=customXml/itemProps2.xml><?xml version="1.0" encoding="utf-8"?>
<ds:datastoreItem xmlns:ds="http://schemas.openxmlformats.org/officeDocument/2006/customXml" ds:itemID="{11D89B15-7FE6-4CB6-8973-FD5DAA93A1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209658-4390-4F2A-A5BE-D161E8174291}">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366</Words>
  <Characters>2087</Characters>
  <Application>Microsoft Office Word</Application>
  <DocSecurity>0</DocSecurity>
  <Lines>17</Lines>
  <Paragraphs>4</Paragraphs>
  <ScaleCrop>false</ScaleCrop>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6</cp:revision>
  <dcterms:created xsi:type="dcterms:W3CDTF">2024-01-15T04:36:00Z</dcterms:created>
  <dcterms:modified xsi:type="dcterms:W3CDTF">2024-01-15T04:38:00Z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438600</vt:r8>
  </property>
</Properties>
</file>